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atLeast"/>
        <w:jc w:val="center"/>
        <w:outlineLvl w:val="2"/>
        <w:rPr>
          <w:rFonts w:ascii="宋体" w:hAnsi="宋体" w:eastAsia="宋体" w:cs="宋体"/>
          <w:b/>
          <w:bCs/>
          <w:color w:val="000000"/>
          <w:kern w:val="0"/>
          <w:sz w:val="30"/>
          <w:szCs w:val="30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鸡白细胞介素-1（IL-1）ELISA试剂盒说明书</w:t>
      </w:r>
    </w:p>
    <w:p>
      <w:pPr>
        <w:widowControl/>
        <w:spacing w:line="750" w:lineRule="atLeas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8"/>
          <w:szCs w:val="18"/>
        </w:rPr>
        <w:t>介绍：</w:t>
      </w:r>
    </w:p>
    <w:p>
      <w:pPr>
        <w:widowControl/>
        <w:spacing w:line="750" w:lineRule="atLeast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fldChar w:fldCharType="begin"/>
      </w:r>
      <w:r>
        <w:instrText xml:space="preserve"> HYPERLINK "http://www.afzhan.com/st127797/DownLoadFile_82814_F.html" \t "_blank" </w:instrText>
      </w:r>
      <w:r>
        <w:fldChar w:fldCharType="separate"/>
      </w:r>
      <w:r>
        <w:rPr>
          <w:rFonts w:hint="eastAsia" w:ascii="宋体" w:hAnsi="宋体" w:eastAsia="宋体" w:cs="宋体"/>
          <w:color w:val="000000"/>
          <w:kern w:val="0"/>
          <w:sz w:val="18"/>
        </w:rPr>
        <w:t>文件下载</w:t>
      </w:r>
      <w:r>
        <w:rPr>
          <w:rFonts w:hint="eastAsia" w:ascii="宋体" w:hAnsi="宋体" w:eastAsia="宋体" w:cs="宋体"/>
          <w:color w:val="000000"/>
          <w:kern w:val="0"/>
          <w:sz w:val="18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    </w:t>
      </w:r>
      <w:r>
        <w:fldChar w:fldCharType="begin"/>
      </w:r>
      <w:r>
        <w:instrText xml:space="preserve"> HYPERLINK "http://www.afzhan.com/st127797/DownLoadFile_82814_I.html" \t "_blank" </w:instrText>
      </w:r>
      <w:r>
        <w:fldChar w:fldCharType="separate"/>
      </w:r>
      <w:r>
        <w:rPr>
          <w:rFonts w:hint="eastAsia" w:ascii="宋体" w:hAnsi="宋体" w:eastAsia="宋体" w:cs="宋体"/>
          <w:color w:val="000000"/>
          <w:kern w:val="0"/>
          <w:sz w:val="18"/>
        </w:rPr>
        <w:t>图片下载</w:t>
      </w:r>
      <w:r>
        <w:rPr>
          <w:rFonts w:hint="eastAsia" w:ascii="宋体" w:hAnsi="宋体" w:eastAsia="宋体" w:cs="宋体"/>
          <w:color w:val="000000"/>
          <w:kern w:val="0"/>
          <w:sz w:val="18"/>
        </w:rPr>
        <w:fldChar w:fldCharType="end"/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本试剂仅供研究使用</w:t>
      </w:r>
      <w:r>
        <w:rPr>
          <w:rFonts w:hint="eastAsia" w:ascii="方正姚体" w:hAnsi="宋体" w:eastAsia="方正姚体" w:cs="宋体"/>
          <w:color w:val="000000"/>
          <w:kern w:val="0"/>
          <w:sz w:val="18"/>
          <w:szCs w:val="18"/>
        </w:rPr>
        <w:t>目的：本试剂盒用于测定鸡血清，血浆，组织及相关液体样本中鸡白细胞介素1（IL-1）的含量。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18"/>
        </w:rPr>
        <w:t>实验原理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18"/>
        </w:rPr>
        <w:t>：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本试剂盒应用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双抗体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夹心法测定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标本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中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鸡白细胞介素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1（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IL-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1）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水平。用纯化的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鸡白细胞介素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1（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IL-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1）抗体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包被微孔板，制成固相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抗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体，往包被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单抗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的微孔中依次加入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白细胞介素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1（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IL-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1），再与HRP标记的白细胞介素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1（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IL-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1）抗体结合，形成抗体-抗原-酶标抗体复合物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，经过彻底洗涤后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加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底物TMB显色。TMB在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HRP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酶的催化下转化成蓝色，并在酸的作用下转化成终的黄色。颜色的深浅和样品中的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白细胞介素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1（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IL-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1）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呈正相关。用酶标仪在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450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nm波长下测定吸光度（OD值），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通过标准曲线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计算样品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中鸡白细胞介素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1（</w:t>
      </w:r>
      <w:r>
        <w:rPr>
          <w:rFonts w:ascii="ˎ̥" w:hAnsi="ˎ̥" w:eastAsia="宋体" w:cs="宋体"/>
          <w:color w:val="000000"/>
          <w:kern w:val="0"/>
          <w:sz w:val="18"/>
          <w:szCs w:val="18"/>
        </w:rPr>
        <w:t>IL-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1）含量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。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8"/>
        </w:rPr>
        <w:t>试剂盒组成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：</w:t>
      </w:r>
    </w:p>
    <w:tbl>
      <w:tblPr>
        <w:tblStyle w:val="8"/>
        <w:tblW w:w="858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5"/>
        <w:gridCol w:w="2520"/>
        <w:gridCol w:w="2340"/>
        <w:gridCol w:w="1635"/>
      </w:tblGrid>
      <w:tr>
        <w:tblPrEx>
          <w:tblLayout w:type="fixed"/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试剂盒组成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48孔配置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96孔配置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保存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说明书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1份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1份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封板膜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2片（48）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2片（96）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密封袋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1个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1个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酶标包被板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1×48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1×96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标准品：270ng/L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0.5ml×1瓶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0.5ml×1瓶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标准品稀释液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1.5ml×1瓶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1.5ml×1瓶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酶标试剂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 ml×1瓶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 ml×1瓶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样品稀释液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 ml×1瓶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 ml×1瓶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显色剂A液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 ml×1瓶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 ml×1瓶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显色剂B液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 ml×1瓶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 ml×1瓶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终止液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3ml×1瓶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6ml×1瓶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浓缩洗涤液</w:t>
            </w:r>
          </w:p>
        </w:tc>
        <w:tc>
          <w:tcPr>
            <w:tcW w:w="25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（20ml×20倍）×1瓶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（20ml×30倍）×1瓶</w:t>
            </w:r>
          </w:p>
        </w:tc>
        <w:tc>
          <w:tcPr>
            <w:tcW w:w="16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</w:tbl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8"/>
        </w:rPr>
        <w:t>样本处理及要求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：</w:t>
      </w:r>
    </w:p>
    <w:p>
      <w:pPr>
        <w:widowControl/>
        <w:ind w:left="332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1. 血清：室温血液自然凝固10-20分钟，离心20分钟左右（2000-3000转/分）。仔细收集上清，保存过程中如出现沉淀，应再次离心。</w:t>
      </w:r>
    </w:p>
    <w:p>
      <w:pPr>
        <w:widowControl/>
        <w:ind w:left="332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2. 血浆：应根据标本的要求选择EDTA或柠檬酸钠作为抗凝剂，混合10-20分钟后，离心20分钟左右（2000-3000转/分）。仔细收集上清，保存过程中如有沉淀形成，应该再次离心。</w:t>
      </w:r>
    </w:p>
    <w:p>
      <w:pPr>
        <w:widowControl/>
        <w:ind w:left="332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3. 尿液：用无菌管收集，离心20分钟左右（2000-3000转/分）。仔细收集上清，保存过程中如有沉淀形成，应再次离心。胸腹水、脑脊液参照实行。</w:t>
      </w:r>
    </w:p>
    <w:p>
      <w:pPr>
        <w:widowControl/>
        <w:ind w:left="315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4. 细胞培养上清：检测分泌性的成份时，用无菌管收集。离心20分钟左右（2000-3000转/分）。仔细收集上清。检测细胞内的成份时，用PBS（PH7.2-7.4）稀释细胞悬液，细胞浓度达到100万/ml左右。通过反复冻融，以使细胞破坏并放出细胞内成份。离心20分钟左右（2000-3000转/分）。仔细收集上清。保存过程中如有沉淀形成，应再次离心。</w:t>
      </w:r>
    </w:p>
    <w:p>
      <w:pPr>
        <w:widowControl/>
        <w:ind w:left="315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5. 组织标本：切割标本后，称取重量。加入一定量的PBS，PH7.4。用液氮迅速冷冻保存备用。标本融化后仍然保持2-8℃的温度。加入一定量的PBS（PH7.4），用手工或匀浆器将标本匀浆充分。离心20分钟左右（2000-3000转/分）。仔细收集上清。分装后一份待检测，其余冷冻备用。</w:t>
      </w:r>
    </w:p>
    <w:p>
      <w:pPr>
        <w:widowControl/>
        <w:ind w:left="315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6. 标本采集后尽早进行提取，提取按相关文献进行，提取后应尽快进行实验。若不能马上进行试验，可将标本放于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-20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℃保存，但应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避免反复冻融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.</w:t>
      </w:r>
    </w:p>
    <w:p>
      <w:pPr>
        <w:widowControl/>
        <w:ind w:left="315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7. 不能检测含NaN3的样品，因NaN3抑制辣根过氧化物酶的（HRP）活性。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8"/>
        </w:rPr>
        <w:t>操作步骤</w:t>
      </w:r>
    </w:p>
    <w:p>
      <w:pPr>
        <w:widowControl/>
        <w:numPr>
          <w:ilvl w:val="0"/>
          <w:numId w:val="1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标准品的稀释与加样：在酶标包被板上设标准品孔10孔，在、第二孔中分别加标准品100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l，然后在、第二孔中加标准品稀释液50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l，混匀；然后从孔、第二孔中各取100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l分别加到第三孔和第四孔，再在第三、第四孔分别加标准品稀释液50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l，混匀；然后在第三孔和第四孔中先各取50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l弃掉，再各取50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l分别加到第五、第六孔中，再在第五、第六孔中分别加标准品稀释液50ul，混匀；混匀后从第五、第六孔中各取50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l分别加到第七、第八孔中，再在第七、第八孔中分别加标准品稀释液50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l，混匀后从第七、第八孔中分别取50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l加到第九、第十孔中，再在第九第十孔分别加标准品稀释液50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l，混匀后从第九第十孔中各取50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l弃掉。（稀释后各孔加样量都为50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l，浓度分别为180ng/L，120ng/L ，60ng/L，30ng/L，15ng/L）。</w:t>
      </w:r>
    </w:p>
    <w:p>
      <w:pPr>
        <w:widowControl/>
        <w:numPr>
          <w:ilvl w:val="0"/>
          <w:numId w:val="1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加样：分别设空白孔（空白对照孔不加样品及酶标试剂，其余各步操作相同）、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待测样品孔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。在酶标包被板上待测样品孔中先加样品稀释液40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l，然后再加待测样品10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l（样品终稀释度为5倍）。加样将样品加于酶标板孔底部，尽量不触及孔壁，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轻轻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晃动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混匀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。</w:t>
      </w:r>
    </w:p>
    <w:p>
      <w:pPr>
        <w:widowControl/>
        <w:numPr>
          <w:ilvl w:val="0"/>
          <w:numId w:val="1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温育：用封板膜封板后置37℃温育30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分钟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。</w:t>
      </w:r>
    </w:p>
    <w:p>
      <w:pPr>
        <w:widowControl/>
        <w:numPr>
          <w:ilvl w:val="0"/>
          <w:numId w:val="1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配液：将30（48T的20倍）倍浓缩洗涤液用蒸馏水30（48T的20倍）倍稀释后备用。</w:t>
      </w:r>
    </w:p>
    <w:p>
      <w:pPr>
        <w:widowControl/>
        <w:numPr>
          <w:ilvl w:val="0"/>
          <w:numId w:val="1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洗涤：小心揭掉封板膜，弃去液体，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甩干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，每孔加满洗涤液，静置30秒后弃去，如此重复5次，拍干。</w:t>
      </w:r>
    </w:p>
    <w:p>
      <w:pPr>
        <w:widowControl/>
        <w:numPr>
          <w:ilvl w:val="0"/>
          <w:numId w:val="1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加酶：每孔加入酶标试剂50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l，空白孔除外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。</w:t>
      </w:r>
    </w:p>
    <w:p>
      <w:pPr>
        <w:widowControl/>
        <w:numPr>
          <w:ilvl w:val="0"/>
          <w:numId w:val="1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温育：操作同3。</w:t>
      </w:r>
    </w:p>
    <w:p>
      <w:pPr>
        <w:widowControl/>
        <w:numPr>
          <w:ilvl w:val="0"/>
          <w:numId w:val="1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洗涤：操作同5。</w:t>
      </w:r>
    </w:p>
    <w:p>
      <w:pPr>
        <w:widowControl/>
        <w:numPr>
          <w:ilvl w:val="0"/>
          <w:numId w:val="1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显色：每孔先加入显色剂A50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l，再加入显色剂B50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l，轻轻震荡混匀，37℃避光显色15分钟. </w:t>
      </w:r>
    </w:p>
    <w:p>
      <w:pPr>
        <w:widowControl/>
        <w:numPr>
          <w:ilvl w:val="0"/>
          <w:numId w:val="1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终止：每孔加终止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液50μl，终止反应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（此时蓝色立转黄色）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。</w:t>
      </w:r>
    </w:p>
    <w:p>
      <w:pPr>
        <w:widowControl/>
        <w:numPr>
          <w:ilvl w:val="0"/>
          <w:numId w:val="1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测定：以空白空调零，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50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nm波长依序测量各孔的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吸光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度（OD值）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。 测定应在加终止液后15分钟以内进行。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8"/>
        </w:rPr>
        <w:t>注意事项：</w:t>
      </w:r>
    </w:p>
    <w:p>
      <w:pPr>
        <w:widowControl/>
        <w:numPr>
          <w:ilvl w:val="0"/>
          <w:numId w:val="2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试剂盒从冷藏环境中取出应在室温平衡15-30分钟后方可使用，酶标包被板开封后如未用完，板条应装入密封袋中保存。</w:t>
      </w:r>
    </w:p>
    <w:p>
      <w:pPr>
        <w:widowControl/>
        <w:numPr>
          <w:ilvl w:val="0"/>
          <w:numId w:val="2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浓洗涤液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可能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会有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结晶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析出，稀释时可在水浴中加温助溶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，洗涤时不影响结果。</w:t>
      </w:r>
    </w:p>
    <w:p>
      <w:pPr>
        <w:widowControl/>
        <w:numPr>
          <w:ilvl w:val="0"/>
          <w:numId w:val="2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各步加样均应使用加样器，并经常校对其准确性，以避免试验误差。一次加样时间控制在5分钟内，如标本数量多，推荐使用排枪加样。</w:t>
      </w:r>
    </w:p>
    <w:p>
      <w:pPr>
        <w:widowControl/>
        <w:numPr>
          <w:ilvl w:val="0"/>
          <w:numId w:val="2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请每次测定的同时做标准曲线，做复孔。如标本中待测物质含量过高（样本OD值大于标准品孔孔的OD值），请先用样品稀释液稀释一定倍数（n倍）后再测定，计算时请后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乘以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总稀释倍数（×n×5）。</w:t>
      </w:r>
    </w:p>
    <w:p>
      <w:pPr>
        <w:widowControl/>
        <w:numPr>
          <w:ilvl w:val="0"/>
          <w:numId w:val="2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封板膜只限一次性使用，以避免交叉污染。</w:t>
      </w:r>
    </w:p>
    <w:p>
      <w:pPr>
        <w:widowControl/>
        <w:numPr>
          <w:ilvl w:val="0"/>
          <w:numId w:val="2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底物请避光保存。</w:t>
      </w:r>
    </w:p>
    <w:p>
      <w:pPr>
        <w:widowControl/>
        <w:numPr>
          <w:ilvl w:val="0"/>
          <w:numId w:val="2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严格按照说明书的操作进行，试验结果判定必须以酶标仪读数为准.</w:t>
      </w:r>
    </w:p>
    <w:p>
      <w:pPr>
        <w:widowControl/>
        <w:numPr>
          <w:ilvl w:val="0"/>
          <w:numId w:val="2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所有样品，洗涤液和各种废弃物都应按传染物处理。</w:t>
      </w:r>
    </w:p>
    <w:p>
      <w:pPr>
        <w:widowControl/>
        <w:numPr>
          <w:ilvl w:val="0"/>
          <w:numId w:val="2"/>
        </w:numPr>
        <w:ind w:lef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本试剂不同批号组分不得混用。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10. 如与英文说明书有异，以英文说明书为准。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18"/>
        </w:rPr>
        <w:t>计算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18"/>
        </w:rPr>
        <w:t>：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以标准物的浓度为横坐标，OD值为纵坐标，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  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在坐标纸上绘出标准曲线，根据样品的OD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    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值由标准曲线查出相应的浓度；再乘以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稀释    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倍数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；或用标准物的浓度与OD值计算出标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    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准曲线的直线回归方程式，将样品的OD值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    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代入方程式，计算出样品浓度，再乘以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稀释    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倍数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，即为样品的实际浓度。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                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 w:val="18"/>
          <w:szCs w:val="18"/>
        </w:rPr>
        <w:drawing>
          <wp:inline distT="0" distB="0" distL="0" distR="0">
            <wp:extent cx="2047875" cy="1847850"/>
            <wp:effectExtent l="19050" t="0" r="9525" b="0"/>
            <wp:docPr id="1" name="图片 1" descr="标准曲线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标准曲线图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                                            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（此图仅供参考）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8"/>
        </w:rPr>
        <w:t>试剂盒性能：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1.样品线性回归与预期浓度相关系数R值为0.95以上。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2.批内与批间应分别小于9%和11%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8"/>
        </w:rPr>
        <w:t>检测范围：                                            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10ng/L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 -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200ng/L                                      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                          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8"/>
        </w:rPr>
        <w:t>保存条件及有效期：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1.试剂盒保存：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；2-8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℃</w:t>
      </w:r>
      <w:r>
        <w:rPr>
          <w:rFonts w:ascii="Times New Roman" w:hAnsi="Times New Roman" w:eastAsia="宋体" w:cs="Times New Roman"/>
          <w:color w:val="000000"/>
          <w:kern w:val="0"/>
          <w:sz w:val="18"/>
          <w:szCs w:val="18"/>
        </w:rPr>
        <w:t>。</w:t>
      </w:r>
    </w:p>
    <w:p>
      <w:pPr>
        <w:widowControl/>
        <w:jc w:val="left"/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2．有效期：6个月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姚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97959"/>
    <w:multiLevelType w:val="multilevel"/>
    <w:tmpl w:val="1D197959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1272081"/>
    <w:multiLevelType w:val="multilevel"/>
    <w:tmpl w:val="21272081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41A5"/>
    <w:rsid w:val="003B1A22"/>
    <w:rsid w:val="004241A5"/>
    <w:rsid w:val="1D7F73AC"/>
    <w:rsid w:val="676A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9">
    <w:name w:val="标题 3 Char"/>
    <w:basedOn w:val="5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paragraph" w:customStyle="1" w:styleId="10">
    <w:name w:val="down_tim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down_t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d1"/>
    <w:basedOn w:val="5"/>
    <w:qFormat/>
    <w:uiPriority w:val="0"/>
  </w:style>
  <w:style w:type="character" w:customStyle="1" w:styleId="13">
    <w:name w:val="d2"/>
    <w:basedOn w:val="5"/>
    <w:qFormat/>
    <w:uiPriority w:val="0"/>
  </w:style>
  <w:style w:type="paragraph" w:customStyle="1" w:styleId="14">
    <w:name w:val="down_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批注框文本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484</Words>
  <Characters>2761</Characters>
  <Lines>23</Lines>
  <Paragraphs>6</Paragraphs>
  <TotalTime>4</TotalTime>
  <ScaleCrop>false</ScaleCrop>
  <LinksUpToDate>false</LinksUpToDate>
  <CharactersWithSpaces>3239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2019-05-09T08:31:00Z</dcterms:created>
  <dc:creator>Administrator</dc:creator>
  <cp:lastModifiedBy>Administrator</cp:lastModifiedBy>
  <dcterms:modified xsi:type="dcterms:W3CDTF">2019-05-31T05:58:02Z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